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41" w:rsidRPr="00AB5E0C" w:rsidRDefault="00A70741" w:rsidP="00A7074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1</w:t>
      </w:r>
      <w:r w:rsidRPr="00AB5E0C">
        <w:rPr>
          <w:rFonts w:ascii="Times New Roman" w:hAnsi="Times New Roman"/>
        </w:rPr>
        <w:t xml:space="preserve">  </w:t>
      </w:r>
    </w:p>
    <w:p w:rsidR="00A70741" w:rsidRPr="00AB5E0C" w:rsidRDefault="00A70741" w:rsidP="00A7074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A70741" w:rsidRPr="00AB5E0C" w:rsidRDefault="00A70741" w:rsidP="00A7074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A70741" w:rsidRDefault="00A70741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4D" w:rsidRPr="00452D96" w:rsidRDefault="00362E4D" w:rsidP="00362E4D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C647DE" w:rsidRPr="00C647DE" w:rsidRDefault="00362E4D" w:rsidP="00362E4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A7074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A70741" w:rsidP="00A7074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3640100010000826609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A7074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A70741" w:rsidP="00A70741">
            <w:pPr>
              <w:spacing w:after="0" w:line="240" w:lineRule="auto"/>
              <w:ind w:left="-102" w:right="177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22.10</w:t>
            </w:r>
            <w:r w:rsidRPr="00AB5E0C">
              <w:rPr>
                <w:rFonts w:ascii="Times New Roman" w:hAnsi="Times New Roman"/>
              </w:rPr>
              <w:t xml:space="preserve">.2015 г. № </w:t>
            </w:r>
            <w:r>
              <w:rPr>
                <w:rFonts w:ascii="Times New Roman" w:hAnsi="Times New Roman"/>
              </w:rPr>
              <w:t>48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A70741">
              <w:rPr>
                <w:rStyle w:val="af5"/>
                <w:rFonts w:ascii="Times New Roman" w:hAnsi="Times New Roman"/>
                <w:b w:val="0"/>
                <w:iCs/>
              </w:rPr>
              <w:t>администрации Анновского сел</w:t>
            </w:r>
            <w:r w:rsidRPr="00A70741">
              <w:rPr>
                <w:rStyle w:val="af5"/>
                <w:rFonts w:ascii="Times New Roman" w:hAnsi="Times New Roman"/>
                <w:b w:val="0"/>
                <w:iCs/>
              </w:rPr>
              <w:t>ь</w:t>
            </w:r>
            <w:r w:rsidRPr="00A70741">
              <w:rPr>
                <w:rStyle w:val="af5"/>
                <w:rFonts w:ascii="Times New Roman" w:hAnsi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A70741">
              <w:rPr>
                <w:rStyle w:val="af5"/>
                <w:rFonts w:ascii="Times New Roman" w:hAnsi="Times New Roman"/>
                <w:b w:val="0"/>
                <w:iCs/>
              </w:rPr>
              <w:t>с</w:t>
            </w:r>
            <w:r w:rsidRPr="00A70741">
              <w:rPr>
                <w:rStyle w:val="af5"/>
                <w:rFonts w:ascii="Times New Roman" w:hAnsi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5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находящегося в муниципальной собственности или государственная собс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венность на который не разграничена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A7074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A70741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A70741" w:rsidRDefault="00D22156" w:rsidP="00A70741">
      <w:pPr>
        <w:rPr>
          <w:rFonts w:ascii="Times New Roman" w:hAnsi="Times New Roman"/>
          <w:b/>
          <w:bCs/>
          <w:lang w:eastAsia="en-US"/>
        </w:rPr>
        <w:sectPr w:rsidR="00D22156" w:rsidRPr="00A70741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Одним из 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собов, указа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в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B964F2" w:rsidRPr="00A70741" w:rsidRDefault="00C647DE" w:rsidP="00A70741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A70741">
        <w:rPr>
          <w:rFonts w:ascii="Times New Roman" w:hAnsi="Times New Roman"/>
          <w:b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774106" w:rsidRDefault="00414473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тавлением услуги. Не должен содержать подчисток, приписок, </w:t>
            </w:r>
            <w:r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мент обращения (при </w:t>
            </w:r>
            <w:r>
              <w:rPr>
                <w:rFonts w:ascii="Times New Roman" w:hAnsi="Times New Roman"/>
              </w:rPr>
              <w:lastRenderedPageBreak/>
              <w:t>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D19AE" w:rsidRPr="00A70741" w:rsidRDefault="00C647DE" w:rsidP="00A70741">
      <w:pPr>
        <w:spacing w:after="0" w:line="240" w:lineRule="auto"/>
        <w:rPr>
          <w:rFonts w:ascii="Times New Roman" w:hAnsi="Times New Roman"/>
          <w:b/>
        </w:rPr>
      </w:pPr>
      <w:r w:rsidRPr="00A70741">
        <w:rPr>
          <w:rFonts w:ascii="Times New Roman" w:hAnsi="Times New Roman"/>
          <w:b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ляется иностранное юридическое </w:t>
            </w:r>
            <w:r w:rsidRPr="00C647DE">
              <w:rPr>
                <w:rFonts w:ascii="Times New Roman" w:hAnsi="Times New Roman"/>
              </w:rPr>
              <w:lastRenderedPageBreak/>
              <w:t>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муниципальных нужд в случае, если земельный участок 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lastRenderedPageBreak/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lastRenderedPageBreak/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A70741" w:rsidRDefault="00C647DE" w:rsidP="00A70741">
      <w:pPr>
        <w:spacing w:after="0" w:line="240" w:lineRule="auto"/>
        <w:rPr>
          <w:rFonts w:ascii="Times New Roman" w:hAnsi="Times New Roman"/>
          <w:b/>
        </w:rPr>
      </w:pPr>
      <w:r w:rsidRPr="00A70741">
        <w:rPr>
          <w:rFonts w:ascii="Times New Roman" w:hAnsi="Times New Roman"/>
          <w:b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70741">
        <w:rPr>
          <w:rFonts w:ascii="Times New Roman" w:hAnsi="Times New Roman"/>
          <w:b/>
        </w:rPr>
        <w:t>И</w:t>
      </w:r>
      <w:r w:rsidRPr="00A70741">
        <w:rPr>
          <w:rFonts w:ascii="Times New Roman" w:hAnsi="Times New Roman"/>
          <w:b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</w:p>
        </w:tc>
        <w:tc>
          <w:tcPr>
            <w:tcW w:w="1417" w:type="dxa"/>
          </w:tcPr>
          <w:p w:rsidR="00C878D2" w:rsidRDefault="00C878D2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418" w:type="dxa"/>
          </w:tcPr>
          <w:p w:rsidR="00C878D2" w:rsidRDefault="00C878D2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C878D2" w:rsidRDefault="00C878D2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534" w:rsidRPr="00A70741" w:rsidRDefault="00C647DE" w:rsidP="00A70741">
      <w:pPr>
        <w:spacing w:after="0" w:line="240" w:lineRule="auto"/>
        <w:rPr>
          <w:rFonts w:ascii="Times New Roman" w:hAnsi="Times New Roman"/>
          <w:b/>
        </w:rPr>
      </w:pPr>
      <w:r w:rsidRPr="00A70741">
        <w:rPr>
          <w:rFonts w:ascii="Times New Roman" w:hAnsi="Times New Roman"/>
          <w:b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A707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мента, размещенного на официальном сайте, ссылка на который направляется </w:t>
            </w:r>
            <w:r>
              <w:rPr>
                <w:rFonts w:ascii="Times New Roman" w:hAnsi="Times New Roman"/>
              </w:rPr>
              <w:lastRenderedPageBreak/>
              <w:t>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73610F" w:rsidRPr="00A70741" w:rsidRDefault="00C647DE" w:rsidP="00A70741">
      <w:pPr>
        <w:spacing w:after="0" w:line="240" w:lineRule="auto"/>
        <w:rPr>
          <w:rFonts w:ascii="Times New Roman" w:hAnsi="Times New Roman"/>
          <w:b/>
        </w:rPr>
      </w:pPr>
      <w:r w:rsidRPr="00A70741">
        <w:rPr>
          <w:rFonts w:ascii="Times New Roman" w:hAnsi="Times New Roman"/>
          <w:b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занного заявления и прилагаемых к нему документов, а также перечень наименований файлов, представленных </w:t>
            </w:r>
            <w:r w:rsidRPr="00C647DE">
              <w:rPr>
                <w:rFonts w:ascii="Times New Roman" w:eastAsia="Calibri" w:hAnsi="Times New Roman"/>
                <w:lang w:eastAsia="en-US"/>
              </w:rPr>
              <w:lastRenderedPageBreak/>
              <w:t>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 xml:space="preserve">ства в границах населенного пункта, садоводства, дачного </w:t>
            </w:r>
            <w:r w:rsidRPr="00C647DE">
              <w:rPr>
                <w:rFonts w:ascii="Times New Roman" w:hAnsi="Times New Roman"/>
              </w:rPr>
              <w:lastRenderedPageBreak/>
              <w:t>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ка рассмотрения заявления специалист ответственный за рассмотрение заявления подготавливает и направляет </w:t>
            </w:r>
            <w:r w:rsidRPr="00C647DE">
              <w:rPr>
                <w:rFonts w:ascii="Times New Roman" w:hAnsi="Times New Roman"/>
              </w:rPr>
              <w:lastRenderedPageBreak/>
              <w:t>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зяйства, для осуществления </w:t>
            </w:r>
            <w:r w:rsidRPr="00C647DE">
              <w:rPr>
                <w:rFonts w:ascii="Times New Roman" w:hAnsi="Times New Roman"/>
              </w:rPr>
              <w:lastRenderedPageBreak/>
              <w:t>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зяйства, для осуществления крестьянским (фермерским) </w:t>
            </w:r>
            <w:r w:rsidRPr="00C647DE">
              <w:rPr>
                <w:rFonts w:ascii="Times New Roman" w:hAnsi="Times New Roman"/>
              </w:rPr>
              <w:lastRenderedPageBreak/>
              <w:t>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случае поступления в течение тридцати дней со дня </w:t>
            </w:r>
            <w:r w:rsidRPr="00C647DE">
              <w:rPr>
                <w:rFonts w:ascii="Times New Roman" w:hAnsi="Times New Roman"/>
              </w:rPr>
              <w:lastRenderedPageBreak/>
              <w:t>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Постановление администрации о предварительном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 (или уполномоченному им надлежащим образом представителю) в виде бумажного документа, неп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средственно при личном обращении, либо направляю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ся заявителю в виде бумажного документа, посредством почтового отправления, либо в виде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размещенного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ссылка на который направляется заявителю посредством электронной почты, либо в виде электро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документа,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70741" w:rsidRDefault="00C647DE" w:rsidP="00A70741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BD6093">
        <w:tc>
          <w:tcPr>
            <w:tcW w:w="14786" w:type="dxa"/>
            <w:gridSpan w:val="7"/>
          </w:tcPr>
          <w:p w:rsidR="005B59D6" w:rsidRPr="00C647DE" w:rsidRDefault="005B59D6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напортала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F0" w:rsidRDefault="002402F0" w:rsidP="00F847AF">
      <w:pPr>
        <w:spacing w:after="0" w:line="240" w:lineRule="auto"/>
      </w:pPr>
      <w:r>
        <w:separator/>
      </w:r>
    </w:p>
  </w:endnote>
  <w:endnote w:type="continuationSeparator" w:id="1">
    <w:p w:rsidR="002402F0" w:rsidRDefault="002402F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F0" w:rsidRDefault="002402F0" w:rsidP="00F847AF">
      <w:pPr>
        <w:spacing w:after="0" w:line="240" w:lineRule="auto"/>
      </w:pPr>
      <w:r>
        <w:separator/>
      </w:r>
    </w:p>
  </w:footnote>
  <w:footnote w:type="continuationSeparator" w:id="1">
    <w:p w:rsidR="002402F0" w:rsidRDefault="002402F0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402F0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2E4D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0007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1ECC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0741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5BB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Strong"/>
    <w:basedOn w:val="a0"/>
    <w:qFormat/>
    <w:rsid w:val="00A70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642-522D-49CE-908B-CA68AC3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29</Pages>
  <Words>7217</Words>
  <Characters>41139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48260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2016-12-26T11:21:00Z</cp:lastPrinted>
  <dcterms:created xsi:type="dcterms:W3CDTF">2016-11-07T11:29:00Z</dcterms:created>
  <dcterms:modified xsi:type="dcterms:W3CDTF">2016-12-27T12:21:00Z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